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1324" w14:textId="288284F3" w:rsidR="00B416F3" w:rsidRPr="009E4E58" w:rsidRDefault="00F65660" w:rsidP="00922A86">
      <w:pPr>
        <w:pStyle w:val="Untertitel"/>
        <w:spacing w:before="2640"/>
      </w:pPr>
      <w:r w:rsidRPr="009E4E58">
        <w:t>PRESSE</w:t>
      </w:r>
      <w:r w:rsidR="00E43588" w:rsidRPr="009E4E58">
        <w:t>INFORMATION</w:t>
      </w:r>
      <w:r w:rsidR="00F940A8" w:rsidRPr="009E4E58">
        <w:t>,</w:t>
      </w:r>
      <w:r w:rsidR="00E43588" w:rsidRPr="009E4E58">
        <w:t xml:space="preserve"> </w:t>
      </w:r>
      <w:r w:rsidR="00837A42">
        <w:t>10</w:t>
      </w:r>
      <w:r w:rsidR="00E43588" w:rsidRPr="009E4E58">
        <w:t xml:space="preserve">. </w:t>
      </w:r>
      <w:r w:rsidR="004B13BE" w:rsidRPr="009E4E58">
        <w:t>November</w:t>
      </w:r>
      <w:r w:rsidR="00E43588" w:rsidRPr="009E4E58">
        <w:t xml:space="preserve"> </w:t>
      </w:r>
      <w:r w:rsidR="0052446E" w:rsidRPr="009E4E58">
        <w:t>2023</w:t>
      </w:r>
    </w:p>
    <w:p w14:paraId="5875C063" w14:textId="5318F236" w:rsidR="00B15DCB" w:rsidRPr="009E4E58" w:rsidRDefault="000F2FA4" w:rsidP="00922A86">
      <w:pPr>
        <w:pStyle w:val="Titel"/>
        <w:spacing w:after="1320"/>
      </w:pPr>
      <w:r w:rsidRPr="009E4E58">
        <w:t>VCI-Fachverbände DBC, IVK und VdL geben Hilfestellung bei der Umsetzung der REACH-Beschränkung zu Mikroplastik</w:t>
      </w:r>
      <w:r w:rsidR="00B15DCB" w:rsidRPr="009E4E58">
        <w:t xml:space="preserve"> </w:t>
      </w:r>
    </w:p>
    <w:p w14:paraId="2FC9101D" w14:textId="36AC77D0" w:rsidR="00E91BFB" w:rsidRDefault="00E91BFB" w:rsidP="00E91BFB">
      <w:r>
        <w:t>Nachdem am 17.10.2023 die REACH-B</w:t>
      </w:r>
      <w:r w:rsidRPr="005F5442">
        <w:t>eschränkung von synthetischen Polymermikropartikeln</w:t>
      </w:r>
      <w:r>
        <w:t xml:space="preserve"> (Mikroplastik) in Kraft getreten ist, haben die</w:t>
      </w:r>
      <w:r w:rsidR="00AA5857">
        <w:t xml:space="preserve"> drei</w:t>
      </w:r>
      <w:r>
        <w:t xml:space="preserve"> VCI-Fachverbände </w:t>
      </w:r>
      <w:r w:rsidR="0034670A" w:rsidRPr="0034670A">
        <w:t>Deutsche Bauchemie e.V.</w:t>
      </w:r>
      <w:r w:rsidR="0034670A">
        <w:t xml:space="preserve"> (DBC)</w:t>
      </w:r>
      <w:r>
        <w:t>,</w:t>
      </w:r>
      <w:r w:rsidR="0034670A">
        <w:t xml:space="preserve"> </w:t>
      </w:r>
      <w:r w:rsidR="0034670A" w:rsidRPr="0034670A">
        <w:t>Industrieverband Klebstoffe e.V.</w:t>
      </w:r>
      <w:r>
        <w:t xml:space="preserve"> </w:t>
      </w:r>
      <w:r w:rsidR="0034670A">
        <w:t>(</w:t>
      </w:r>
      <w:r>
        <w:t>IVK</w:t>
      </w:r>
      <w:r w:rsidR="0034670A">
        <w:t>)</w:t>
      </w:r>
      <w:r>
        <w:t xml:space="preserve"> und </w:t>
      </w:r>
      <w:r w:rsidR="0034670A" w:rsidRPr="0034670A">
        <w:t>Verband der deutschen Lack- und Druckfarbenindustrie e.V.</w:t>
      </w:r>
      <w:r w:rsidR="0034670A">
        <w:t xml:space="preserve"> (</w:t>
      </w:r>
      <w:r>
        <w:t>VdL</w:t>
      </w:r>
      <w:r w:rsidR="0034670A">
        <w:t>)</w:t>
      </w:r>
      <w:r>
        <w:t xml:space="preserve"> ihre </w:t>
      </w:r>
      <w:bookmarkStart w:id="0" w:name="_Hlk149908185"/>
      <w:r w:rsidRPr="005F5442">
        <w:t>Hinweise und Hilfestellungen zur Umsetzung der Beschränkung von synthetischen Polymermikropartikeln</w:t>
      </w:r>
      <w:bookmarkEnd w:id="0"/>
      <w:r>
        <w:t xml:space="preserve"> veröffentlicht. Der gemeinsame Leitfaden soll betroffene Hersteller von </w:t>
      </w:r>
      <w:r w:rsidRPr="005F5442">
        <w:t>bauchemische</w:t>
      </w:r>
      <w:r>
        <w:t>n</w:t>
      </w:r>
      <w:r w:rsidRPr="005F5442">
        <w:t xml:space="preserve"> Produkte</w:t>
      </w:r>
      <w:r>
        <w:t>n</w:t>
      </w:r>
      <w:r w:rsidRPr="005F5442">
        <w:t>, Dichtstoffe</w:t>
      </w:r>
      <w:r>
        <w:t>n</w:t>
      </w:r>
      <w:r w:rsidRPr="005F5442">
        <w:t>, Klebstoffe</w:t>
      </w:r>
      <w:r>
        <w:t>n</w:t>
      </w:r>
      <w:r w:rsidRPr="005F5442">
        <w:t xml:space="preserve"> und Klebebänder</w:t>
      </w:r>
      <w:r>
        <w:t>n</w:t>
      </w:r>
      <w:r w:rsidRPr="005F5442">
        <w:t xml:space="preserve"> sowie Farben, Lacke</w:t>
      </w:r>
      <w:r>
        <w:t>n</w:t>
      </w:r>
      <w:r w:rsidRPr="005F5442">
        <w:t xml:space="preserve"> und Druckfarben</w:t>
      </w:r>
      <w:r>
        <w:t xml:space="preserve"> dabei unterstützen, </w:t>
      </w:r>
      <w:r w:rsidRPr="005F5442">
        <w:t>die von der SPM-Beschränkung betroffenen Rohstoffe und Produkte zu identifizieren, notwendige Pflichten abzuleiten und deren Umsetzung rechtzeitig vorzubereiten.</w:t>
      </w:r>
    </w:p>
    <w:p w14:paraId="4F7BFDBA" w14:textId="3F8FCDB7" w:rsidR="00E91BFB" w:rsidRDefault="00E91BFB" w:rsidP="00E91BFB">
      <w:r>
        <w:t xml:space="preserve">Die Anwendungen in den genannten Branchen unterliegen in der Regel bestimmten Ausnahmen, so dass die Produkte, auch wenn sie der REACH-Beschränkung unterliegen, weiterhin hergestellt, vertrieben und verwendet werden können. Hersteller und </w:t>
      </w:r>
      <w:r w:rsidRPr="00C22662">
        <w:t>nachgeschaltete industrielle Anwender</w:t>
      </w:r>
      <w:r>
        <w:t xml:space="preserve"> haben allerdings gewisse Pflichten zu beachten. So müssen sie ihren Kunden spätestens bis zum </w:t>
      </w:r>
      <w:r w:rsidRPr="00C22662">
        <w:t>17.</w:t>
      </w:r>
      <w:r>
        <w:t>10.</w:t>
      </w:r>
      <w:r w:rsidRPr="00C22662">
        <w:t>2025</w:t>
      </w:r>
      <w:r>
        <w:t xml:space="preserve"> </w:t>
      </w:r>
      <w:r w:rsidRPr="00C22662">
        <w:t>Anweisungen für die Verwendung und Entsorgung</w:t>
      </w:r>
      <w:r>
        <w:t xml:space="preserve"> zur Verfügung stellen, in denen erläutert wird, wie die Freisetzung von </w:t>
      </w:r>
      <w:r w:rsidRPr="00C22662">
        <w:t>Polymermikropartikel in die Umwelt verhindert werden kann</w:t>
      </w:r>
      <w:r>
        <w:t>. Weiterhin müssen sie spätestens bis zum 31.05.2027 und von da an jährlich zum 31.05. festgelegte Informationen an die Europäische Chemikalienagentur (ECHA) übermitteln.</w:t>
      </w:r>
    </w:p>
    <w:p w14:paraId="35F20409" w14:textId="1E413A68" w:rsidR="00E43588" w:rsidRDefault="00E91BFB" w:rsidP="00E43588">
      <w:r>
        <w:t xml:space="preserve">Aktuell gilt es für </w:t>
      </w:r>
      <w:proofErr w:type="spellStart"/>
      <w:r>
        <w:t>Formulierer</w:t>
      </w:r>
      <w:proofErr w:type="spellEnd"/>
      <w:r>
        <w:t xml:space="preserve"> entsprechender Produkte erst einmal die eigene Betroffenheit zu ermitteln. Da hierzu häufig nicht alle Informationen vorliegen und diese teilweise erst von den Rohstofflieferanten eingeholt werden müssen, ist Handlungsbedarf gegeben. Der Leitfaden der DBC, des IVK und des VdL gibt Hinweise, wie die Unternehmen vorgehen sollten, um rechtzeitig eine mögliche Betroffenheit zu klären und bei Bedarf die eigenen Pflichten zu identifizieren. Der Leitfaden kann über folgenden Link heruntergeladen werden</w:t>
      </w:r>
      <w:r w:rsidR="006E2A2D">
        <w:t xml:space="preserve">: </w:t>
      </w:r>
      <w:hyperlink r:id="rId7" w:history="1">
        <w:r w:rsidR="00F1356E" w:rsidRPr="00007F84">
          <w:rPr>
            <w:rStyle w:val="Hyperlink"/>
          </w:rPr>
          <w:t>https://www.klebstoffe.com/informationen/merkblaetter/</w:t>
        </w:r>
      </w:hyperlink>
      <w:r w:rsidR="00F1356E">
        <w:t xml:space="preserve"> </w:t>
      </w:r>
    </w:p>
    <w:p w14:paraId="50C8905D" w14:textId="49F04A33" w:rsidR="002C032B" w:rsidRDefault="002C032B" w:rsidP="00E43588"/>
    <w:p w14:paraId="567DF1DF" w14:textId="77777777" w:rsidR="00922A86" w:rsidRDefault="00922A86" w:rsidP="00E43588">
      <w:pPr>
        <w:rPr>
          <w:rStyle w:val="Hervorhebung"/>
        </w:rPr>
      </w:pPr>
    </w:p>
    <w:p w14:paraId="0DB7F4CA" w14:textId="3204BEFE" w:rsidR="00922A86" w:rsidRDefault="00922A86" w:rsidP="00E43588">
      <w:pPr>
        <w:rPr>
          <w:rStyle w:val="Hervorhebung"/>
        </w:rPr>
      </w:pPr>
    </w:p>
    <w:p w14:paraId="7DECB5E8" w14:textId="7B1FD1FD" w:rsidR="00922A86" w:rsidRDefault="001435D8" w:rsidP="00E43588">
      <w:pPr>
        <w:rPr>
          <w:rStyle w:val="Hervorhebung"/>
        </w:rPr>
      </w:pPr>
      <w:r>
        <w:rPr>
          <w:noProof/>
        </w:rPr>
        <w:drawing>
          <wp:anchor distT="0" distB="0" distL="114300" distR="114300" simplePos="0" relativeHeight="251664384" behindDoc="0" locked="0" layoutInCell="1" allowOverlap="1" wp14:anchorId="0A5019C0" wp14:editId="7F1B1AD9">
            <wp:simplePos x="0" y="0"/>
            <wp:positionH relativeFrom="column">
              <wp:posOffset>753110</wp:posOffset>
            </wp:positionH>
            <wp:positionV relativeFrom="paragraph">
              <wp:posOffset>238760</wp:posOffset>
            </wp:positionV>
            <wp:extent cx="4054475" cy="3040380"/>
            <wp:effectExtent l="0" t="0" r="3175" b="7620"/>
            <wp:wrapTopAndBottom/>
            <wp:docPr id="916137827" name="Grafik 1" descr="Ein Bild, das Text, Papier, Aufdruck,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37827" name="Grafik 1" descr="Ein Bild, das Text, Papier, Aufdruck, Papierproduk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4475"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6EDBA" w14:textId="295111EB" w:rsidR="00922A86" w:rsidRDefault="00A220E0" w:rsidP="00E43588">
      <w:pPr>
        <w:rPr>
          <w:rStyle w:val="Hervorhebung"/>
        </w:rPr>
      </w:pPr>
      <w:r>
        <w:rPr>
          <w:rStyle w:val="Hervorhebung"/>
        </w:rPr>
        <w:t>Bildunters</w:t>
      </w:r>
      <w:r w:rsidR="00555732">
        <w:rPr>
          <w:rStyle w:val="Hervorhebung"/>
        </w:rPr>
        <w:t xml:space="preserve">chrift: </w:t>
      </w:r>
      <w:r w:rsidR="00555732" w:rsidRPr="00555732">
        <w:rPr>
          <w:rStyle w:val="Hervorhebung"/>
        </w:rPr>
        <w:t>Hinweise und Hilfestellungen zur Umsetzung der Beschränkung von synthetischen Polymermikropartikeln</w:t>
      </w:r>
    </w:p>
    <w:p w14:paraId="767551E6" w14:textId="77777777" w:rsidR="00A220E0" w:rsidRDefault="00A220E0" w:rsidP="00E43588">
      <w:pPr>
        <w:rPr>
          <w:rStyle w:val="Hervorhebung"/>
        </w:rPr>
      </w:pPr>
    </w:p>
    <w:p w14:paraId="2091A576" w14:textId="05153BEC" w:rsidR="00E43588" w:rsidRDefault="00E91BFB" w:rsidP="00E43588">
      <w:pPr>
        <w:rPr>
          <w:rStyle w:val="Hervorhebung"/>
        </w:rPr>
      </w:pPr>
      <w:r>
        <w:rPr>
          <w:rStyle w:val="Hervorhebung"/>
        </w:rPr>
        <w:t>Abbildung</w:t>
      </w:r>
      <w:r w:rsidR="00E43588" w:rsidRPr="002C032B">
        <w:rPr>
          <w:rStyle w:val="Hervorhebung"/>
        </w:rPr>
        <w:t>: ©</w:t>
      </w:r>
      <w:r w:rsidR="00F971BB">
        <w:rPr>
          <w:rStyle w:val="Hervorhebung"/>
        </w:rPr>
        <w:t xml:space="preserve"> </w:t>
      </w:r>
      <w:r w:rsidR="00E43588" w:rsidRPr="002C032B">
        <w:rPr>
          <w:rStyle w:val="Hervorhebung"/>
        </w:rPr>
        <w:t>Deutsche Bauchemie</w:t>
      </w:r>
    </w:p>
    <w:p w14:paraId="08F10B16" w14:textId="77777777" w:rsidR="006868DE" w:rsidRPr="002C032B" w:rsidRDefault="006868DE" w:rsidP="00E43588">
      <w:pPr>
        <w:rPr>
          <w:rStyle w:val="Hervorhebung"/>
        </w:rPr>
      </w:pPr>
    </w:p>
    <w:p w14:paraId="30675444" w14:textId="4EB5F6E1" w:rsidR="00E43588" w:rsidRPr="00ED2A12" w:rsidRDefault="00E43588" w:rsidP="00E43588">
      <w:pPr>
        <w:rPr>
          <w:rStyle w:val="SchwacheHervorhebung"/>
        </w:rPr>
      </w:pPr>
      <w:r w:rsidRPr="00ED2A12">
        <w:rPr>
          <w:rStyle w:val="SchwacheHervorhebung"/>
        </w:rPr>
        <w:t>Die Deutsche Bauchemie vertritt seit 75 Jahren die Interessen ihrer Mitgliedsfirmen und deutschen Tochter</w:t>
      </w:r>
      <w:r w:rsidR="00ED2A12">
        <w:rPr>
          <w:rStyle w:val="SchwacheHervorhebung"/>
        </w:rPr>
        <w:t>-</w:t>
      </w:r>
      <w:proofErr w:type="spellStart"/>
      <w:r w:rsidRPr="00ED2A12">
        <w:rPr>
          <w:rStyle w:val="SchwacheHervorhebung"/>
        </w:rPr>
        <w:t>unternehmen</w:t>
      </w:r>
      <w:proofErr w:type="spellEnd"/>
      <w:r w:rsidRPr="00ED2A12">
        <w:rPr>
          <w:rStyle w:val="SchwacheHervorhebung"/>
        </w:rPr>
        <w:t xml:space="preserve"> ausländischer Konzerne gegenüber der Fachöffentlichkeit, Politik, Behörden, Wissenschaft und Medien. Der Industrieverband gehört als Fachorganisation zum Verband der Chemischen Industrie (VCI). Die mehr als 130 Mitgliedsunternehmen erwirtschafteten 2022 mit rund 32.000 Beschäftigten einen Umsatz von 8,9 Milliarden Euro in Europa. Das entspricht der Hälfte des europäischen Marktvolumens und etwa einem Viertel des Weltmarktes.</w:t>
      </w:r>
    </w:p>
    <w:p w14:paraId="51277E70" w14:textId="3A2C56D7" w:rsidR="00E43588" w:rsidRDefault="009E3611" w:rsidP="00E43588">
      <w:pPr>
        <w:rPr>
          <w:rStyle w:val="SchwacheHervorhebung"/>
        </w:rPr>
      </w:pPr>
      <w:r w:rsidRPr="009E3611">
        <w:rPr>
          <w:rStyle w:val="SchwacheHervorhebung"/>
        </w:rPr>
        <w:t>Der Verband der deutschen Lack- und Druckfarbenindustrie e.V. (VdL) repräsentiert über 200 meist mittelständische Lack-, Farben- und Druckfarbenhersteller in Deutschland. Im VdL sind über 90 Prozent des Industriezweiges organisiert. Die Branche setzte 2022 rund 8,8 Milliarden Euro um und beschäftigt circa 25.000 Mitarbeiter.</w:t>
      </w:r>
    </w:p>
    <w:p w14:paraId="190C7CF0" w14:textId="5EAFAD3D" w:rsidR="00D30C6C" w:rsidRPr="009E3611" w:rsidRDefault="00D30C6C" w:rsidP="00E43588">
      <w:pPr>
        <w:rPr>
          <w:rStyle w:val="SchwacheHervorhebung"/>
        </w:rPr>
      </w:pPr>
      <w:r w:rsidRPr="00D30C6C">
        <w:rPr>
          <w:rStyle w:val="SchwacheHervorhebung"/>
        </w:rPr>
        <w:t>Der Industrieverband Klebstoffe (IVK) vertritt die wirtschaftspolitischen und technischen Interessen der deutschen Klebstoffindustrie gegenüber der Öffentlichkeit, Behörden, Verbrauchern und wissenschaftlichen Institutionen. Dem IVK gehören mehr als 155 Klebstoff-, Klebeband-, Dichtstoff- und Klebrohstoffhersteller sowie wissenschaftliche Institute und Systempartner an. Insgesamt beschäftigt die deutsche Klebstoffindustrie mehr als 18.000 Mitarbeiter*innen.</w:t>
      </w:r>
    </w:p>
    <w:sectPr w:rsidR="00D30C6C" w:rsidRPr="009E3611" w:rsidSect="004E7E63">
      <w:headerReference w:type="default" r:id="rId9"/>
      <w:footerReference w:type="default" r:id="rId10"/>
      <w:headerReference w:type="first" r:id="rId11"/>
      <w:footerReference w:type="first" r:id="rId12"/>
      <w:pgSz w:w="11906" w:h="16838"/>
      <w:pgMar w:top="1814" w:right="1247" w:bottom="1701"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01E18" w14:textId="77777777" w:rsidR="003473C5" w:rsidRDefault="003473C5" w:rsidP="004A3C76">
      <w:r>
        <w:separator/>
      </w:r>
    </w:p>
  </w:endnote>
  <w:endnote w:type="continuationSeparator" w:id="0">
    <w:p w14:paraId="0B96DE6C" w14:textId="77777777" w:rsidR="003473C5" w:rsidRDefault="003473C5" w:rsidP="004A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Bold">
    <w:altName w:val="Barlow SemiBold"/>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11" w:type="dxa"/>
      <w:tblInd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tblGrid>
    <w:tr w:rsidR="00891E9E" w:rsidRPr="004E7E63" w14:paraId="49E80C38" w14:textId="2B373D7C" w:rsidTr="00891E9E">
      <w:trPr>
        <w:trHeight w:val="145"/>
      </w:trPr>
      <w:tc>
        <w:tcPr>
          <w:tcW w:w="711" w:type="dxa"/>
        </w:tcPr>
        <w:p w14:paraId="11D97139" w14:textId="1A794D89" w:rsidR="00891E9E" w:rsidRPr="004E7E63" w:rsidRDefault="00891E9E" w:rsidP="00891E9E">
          <w:pPr>
            <w:pStyle w:val="Fuzeile"/>
            <w:ind w:right="-105"/>
            <w:jc w:val="right"/>
            <w:rPr>
              <w:szCs w:val="20"/>
            </w:rPr>
          </w:pPr>
          <w:r w:rsidRPr="004E7E63">
            <w:rPr>
              <w:szCs w:val="20"/>
            </w:rPr>
            <w:fldChar w:fldCharType="begin"/>
          </w:r>
          <w:r w:rsidRPr="004E7E63">
            <w:rPr>
              <w:szCs w:val="20"/>
            </w:rPr>
            <w:instrText>PAGE  \* Arabic  \* MERGEFORMAT</w:instrText>
          </w:r>
          <w:r w:rsidRPr="004E7E63">
            <w:rPr>
              <w:szCs w:val="20"/>
            </w:rPr>
            <w:fldChar w:fldCharType="separate"/>
          </w:r>
          <w:r w:rsidRPr="004E7E63">
            <w:rPr>
              <w:szCs w:val="20"/>
            </w:rPr>
            <w:t>1</w:t>
          </w:r>
          <w:r w:rsidRPr="004E7E63">
            <w:rPr>
              <w:szCs w:val="20"/>
            </w:rPr>
            <w:fldChar w:fldCharType="end"/>
          </w:r>
          <w:r w:rsidRPr="004E7E63">
            <w:rPr>
              <w:szCs w:val="20"/>
            </w:rPr>
            <w:t xml:space="preserve"> / </w:t>
          </w:r>
          <w:r w:rsidRPr="004E7E63">
            <w:rPr>
              <w:szCs w:val="20"/>
            </w:rPr>
            <w:fldChar w:fldCharType="begin"/>
          </w:r>
          <w:r w:rsidRPr="004E7E63">
            <w:rPr>
              <w:szCs w:val="20"/>
            </w:rPr>
            <w:instrText>NUMPAGES  \* Arabic  \* MERGEFORMAT</w:instrText>
          </w:r>
          <w:r w:rsidRPr="004E7E63">
            <w:rPr>
              <w:szCs w:val="20"/>
            </w:rPr>
            <w:fldChar w:fldCharType="separate"/>
          </w:r>
          <w:r w:rsidRPr="004E7E63">
            <w:rPr>
              <w:szCs w:val="20"/>
            </w:rPr>
            <w:t>2</w:t>
          </w:r>
          <w:r w:rsidRPr="004E7E63">
            <w:rPr>
              <w:szCs w:val="20"/>
            </w:rPr>
            <w:fldChar w:fldCharType="end"/>
          </w:r>
        </w:p>
      </w:tc>
    </w:tr>
  </w:tbl>
  <w:p w14:paraId="6B56459B" w14:textId="77777777" w:rsidR="00F107C6" w:rsidRPr="004E7E63" w:rsidRDefault="00F107C6" w:rsidP="00891E9E">
    <w:pPr>
      <w:pStyle w:val="KeinLeerraum"/>
      <w:rPr>
        <w:sz w:val="4"/>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835"/>
      <w:gridCol w:w="3544"/>
      <w:gridCol w:w="1134"/>
    </w:tblGrid>
    <w:tr w:rsidR="00C25DC3" w:rsidRPr="00C25DC3" w14:paraId="03F0F052" w14:textId="77777777" w:rsidTr="00261715">
      <w:tc>
        <w:tcPr>
          <w:tcW w:w="2376" w:type="dxa"/>
        </w:tcPr>
        <w:p w14:paraId="1186C1ED" w14:textId="1C402B78" w:rsidR="00C25DC3" w:rsidRPr="00C25DC3" w:rsidRDefault="00C25DC3" w:rsidP="00C25DC3">
          <w:pPr>
            <w:tabs>
              <w:tab w:val="center" w:pos="4536"/>
              <w:tab w:val="right" w:pos="9072"/>
            </w:tabs>
            <w:spacing w:after="0" w:line="240" w:lineRule="auto"/>
            <w:rPr>
              <w:rFonts w:ascii="Barlow SemiBold" w:hAnsi="Barlow SemiBold"/>
              <w:color w:val="004A92"/>
              <w:sz w:val="16"/>
              <w:szCs w:val="16"/>
            </w:rPr>
          </w:pPr>
          <w:r w:rsidRPr="00C25DC3">
            <w:rPr>
              <w:rFonts w:ascii="Barlow SemiBold" w:hAnsi="Barlow SemiBold"/>
              <w:color w:val="004A92"/>
              <w:sz w:val="16"/>
              <w:szCs w:val="16"/>
            </w:rPr>
            <w:t>Deutsche Bauchemie e. V.</w:t>
          </w:r>
        </w:p>
        <w:p w14:paraId="79CA4A74"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Mainzer Landstraße 55</w:t>
          </w:r>
        </w:p>
        <w:p w14:paraId="60974E88"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60329 Frankfurt am Main</w:t>
          </w:r>
        </w:p>
      </w:tc>
      <w:tc>
        <w:tcPr>
          <w:tcW w:w="2835" w:type="dxa"/>
        </w:tcPr>
        <w:p w14:paraId="27ACA421"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 xml:space="preserve">T: +49 69 2556-1318 </w:t>
          </w:r>
        </w:p>
        <w:p w14:paraId="25214EF8"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E: info@deutsche-bauchemie.de</w:t>
          </w:r>
        </w:p>
        <w:p w14:paraId="09DF56CA" w14:textId="77777777" w:rsidR="00C25DC3" w:rsidRPr="00C25DC3" w:rsidRDefault="00E230DF" w:rsidP="00C25DC3">
          <w:pPr>
            <w:tabs>
              <w:tab w:val="center" w:pos="4536"/>
              <w:tab w:val="right" w:pos="9072"/>
            </w:tabs>
            <w:spacing w:after="0" w:line="240" w:lineRule="auto"/>
            <w:rPr>
              <w:sz w:val="16"/>
              <w:szCs w:val="16"/>
            </w:rPr>
          </w:pPr>
          <w:hyperlink r:id="rId1" w:history="1">
            <w:r w:rsidR="00C25DC3" w:rsidRPr="00C25DC3">
              <w:rPr>
                <w:color w:val="004A92"/>
                <w:sz w:val="16"/>
                <w:szCs w:val="16"/>
                <w:u w:val="single"/>
              </w:rPr>
              <w:t>deutsche-bauchemie.de</w:t>
            </w:r>
          </w:hyperlink>
        </w:p>
      </w:tc>
      <w:tc>
        <w:tcPr>
          <w:tcW w:w="3544" w:type="dxa"/>
        </w:tcPr>
        <w:p w14:paraId="58113CED" w14:textId="77777777" w:rsidR="00C25DC3" w:rsidRPr="00C25DC3" w:rsidRDefault="00C25DC3" w:rsidP="00C25DC3">
          <w:pPr>
            <w:tabs>
              <w:tab w:val="center" w:pos="4536"/>
              <w:tab w:val="right" w:pos="9072"/>
            </w:tabs>
            <w:spacing w:after="0" w:line="240" w:lineRule="auto"/>
            <w:rPr>
              <w:sz w:val="16"/>
              <w:szCs w:val="16"/>
            </w:rPr>
          </w:pPr>
        </w:p>
        <w:p w14:paraId="285B3D1F"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EU-Transparenzregister Nr. 85088198851-14</w:t>
          </w:r>
        </w:p>
        <w:p w14:paraId="4F448CC0" w14:textId="77777777" w:rsidR="00C25DC3" w:rsidRPr="00C25DC3" w:rsidRDefault="00C25DC3" w:rsidP="00C25DC3">
          <w:pPr>
            <w:tabs>
              <w:tab w:val="center" w:pos="4536"/>
              <w:tab w:val="right" w:pos="9072"/>
            </w:tabs>
            <w:spacing w:after="0" w:line="240" w:lineRule="auto"/>
            <w:rPr>
              <w:sz w:val="16"/>
              <w:szCs w:val="16"/>
            </w:rPr>
          </w:pPr>
          <w:r w:rsidRPr="00C25DC3">
            <w:rPr>
              <w:sz w:val="16"/>
              <w:szCs w:val="16"/>
            </w:rPr>
            <w:t>Lobbyregister Dt. Bundestag Nr. R000871</w:t>
          </w:r>
        </w:p>
      </w:tc>
      <w:tc>
        <w:tcPr>
          <w:tcW w:w="1134" w:type="dxa"/>
        </w:tcPr>
        <w:p w14:paraId="13D88E53" w14:textId="77777777" w:rsidR="00C25DC3" w:rsidRPr="00C25DC3" w:rsidRDefault="00C25DC3" w:rsidP="001D17EE">
          <w:pPr>
            <w:tabs>
              <w:tab w:val="center" w:pos="4536"/>
              <w:tab w:val="right" w:pos="9072"/>
            </w:tabs>
            <w:spacing w:after="0" w:line="240" w:lineRule="auto"/>
            <w:jc w:val="right"/>
            <w:rPr>
              <w:sz w:val="16"/>
              <w:szCs w:val="16"/>
            </w:rPr>
          </w:pPr>
        </w:p>
        <w:p w14:paraId="75D8C131" w14:textId="77777777" w:rsidR="00C25DC3" w:rsidRPr="00C25DC3" w:rsidRDefault="00C25DC3" w:rsidP="001D17EE">
          <w:pPr>
            <w:tabs>
              <w:tab w:val="center" w:pos="4536"/>
              <w:tab w:val="right" w:pos="9072"/>
            </w:tabs>
            <w:spacing w:after="0" w:line="240" w:lineRule="auto"/>
            <w:jc w:val="right"/>
            <w:rPr>
              <w:sz w:val="16"/>
              <w:szCs w:val="16"/>
            </w:rPr>
          </w:pPr>
        </w:p>
        <w:p w14:paraId="17787A1A" w14:textId="77777777" w:rsidR="00C25DC3" w:rsidRPr="00C25DC3" w:rsidRDefault="00C25DC3" w:rsidP="001D17EE">
          <w:pPr>
            <w:tabs>
              <w:tab w:val="center" w:pos="4536"/>
              <w:tab w:val="right" w:pos="9072"/>
            </w:tabs>
            <w:spacing w:after="0" w:line="240" w:lineRule="auto"/>
            <w:jc w:val="right"/>
            <w:rPr>
              <w:sz w:val="16"/>
              <w:szCs w:val="16"/>
            </w:rPr>
          </w:pPr>
          <w:r w:rsidRPr="00C25DC3">
            <w:rPr>
              <w:sz w:val="16"/>
              <w:szCs w:val="16"/>
            </w:rPr>
            <w:fldChar w:fldCharType="begin"/>
          </w:r>
          <w:r w:rsidRPr="00C25DC3">
            <w:rPr>
              <w:sz w:val="16"/>
              <w:szCs w:val="16"/>
            </w:rPr>
            <w:instrText>PAGE  \* Arabic  \* MERGEFORMAT</w:instrText>
          </w:r>
          <w:r w:rsidRPr="00C25DC3">
            <w:rPr>
              <w:sz w:val="16"/>
              <w:szCs w:val="16"/>
            </w:rPr>
            <w:fldChar w:fldCharType="separate"/>
          </w:r>
          <w:r w:rsidRPr="00C25DC3">
            <w:rPr>
              <w:sz w:val="16"/>
              <w:szCs w:val="16"/>
            </w:rPr>
            <w:t>1</w:t>
          </w:r>
          <w:r w:rsidRPr="00C25DC3">
            <w:rPr>
              <w:sz w:val="16"/>
              <w:szCs w:val="16"/>
            </w:rPr>
            <w:fldChar w:fldCharType="end"/>
          </w:r>
          <w:r w:rsidRPr="00C25DC3">
            <w:rPr>
              <w:sz w:val="16"/>
              <w:szCs w:val="16"/>
            </w:rPr>
            <w:t xml:space="preserve"> / </w:t>
          </w:r>
          <w:r w:rsidRPr="00C25DC3">
            <w:rPr>
              <w:sz w:val="16"/>
              <w:szCs w:val="16"/>
            </w:rPr>
            <w:fldChar w:fldCharType="begin"/>
          </w:r>
          <w:r w:rsidRPr="00C25DC3">
            <w:rPr>
              <w:sz w:val="16"/>
              <w:szCs w:val="16"/>
            </w:rPr>
            <w:instrText>NUMPAGES  \* Arabic  \* MERGEFORMAT</w:instrText>
          </w:r>
          <w:r w:rsidRPr="00C25DC3">
            <w:rPr>
              <w:sz w:val="16"/>
              <w:szCs w:val="16"/>
            </w:rPr>
            <w:fldChar w:fldCharType="separate"/>
          </w:r>
          <w:r w:rsidRPr="00C25DC3">
            <w:rPr>
              <w:sz w:val="16"/>
              <w:szCs w:val="16"/>
            </w:rPr>
            <w:t>2</w:t>
          </w:r>
          <w:r w:rsidRPr="00C25DC3">
            <w:rPr>
              <w:sz w:val="16"/>
              <w:szCs w:val="16"/>
            </w:rPr>
            <w:fldChar w:fldCharType="end"/>
          </w:r>
        </w:p>
      </w:tc>
    </w:tr>
  </w:tbl>
  <w:p w14:paraId="62C8E28B" w14:textId="5737C4D3" w:rsidR="00C25DC3" w:rsidRPr="00C25DC3" w:rsidRDefault="00C25DC3" w:rsidP="00C87903">
    <w:pPr>
      <w:pStyle w:val="KeinLeerrau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6899" w14:textId="77777777" w:rsidR="003473C5" w:rsidRDefault="003473C5" w:rsidP="004A3C76">
      <w:r>
        <w:separator/>
      </w:r>
    </w:p>
  </w:footnote>
  <w:footnote w:type="continuationSeparator" w:id="0">
    <w:p w14:paraId="06742381" w14:textId="77777777" w:rsidR="003473C5" w:rsidRDefault="003473C5" w:rsidP="004A3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B90" w14:textId="77777777" w:rsidR="00BE607E" w:rsidRDefault="00BE607E" w:rsidP="00BE607E">
    <w:pPr>
      <w:pStyle w:val="Kopfzeile"/>
      <w:spacing w:before="240"/>
    </w:pPr>
    <w:r>
      <w:rPr>
        <w:noProof/>
      </w:rPr>
      <w:drawing>
        <wp:anchor distT="0" distB="0" distL="114300" distR="114300" simplePos="0" relativeHeight="251665408" behindDoc="0" locked="0" layoutInCell="1" allowOverlap="1" wp14:anchorId="1B07E475" wp14:editId="18D41A9F">
          <wp:simplePos x="0" y="0"/>
          <wp:positionH relativeFrom="margin">
            <wp:posOffset>2046605</wp:posOffset>
          </wp:positionH>
          <wp:positionV relativeFrom="paragraph">
            <wp:posOffset>106680</wp:posOffset>
          </wp:positionV>
          <wp:extent cx="2195195" cy="348615"/>
          <wp:effectExtent l="0" t="0" r="0" b="0"/>
          <wp:wrapNone/>
          <wp:docPr id="774916537" name="Grafik 2"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6537" name="Grafik 2" descr="Ein Bild, das Text,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19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C0E0F7E" wp14:editId="6275246C">
          <wp:simplePos x="0" y="0"/>
          <wp:positionH relativeFrom="column">
            <wp:posOffset>4686300</wp:posOffset>
          </wp:positionH>
          <wp:positionV relativeFrom="paragraph">
            <wp:posOffset>-95250</wp:posOffset>
          </wp:positionV>
          <wp:extent cx="1652587" cy="684405"/>
          <wp:effectExtent l="0" t="0" r="5080" b="0"/>
          <wp:wrapNone/>
          <wp:docPr id="537537992" name="Grafik 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37992" name="Grafik 1" descr="Ein Bild, das Schrift, Grafiken, Screenshot,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587" cy="684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303204C" wp14:editId="69FACE03">
          <wp:simplePos x="0" y="0"/>
          <wp:positionH relativeFrom="column">
            <wp:posOffset>-32385</wp:posOffset>
          </wp:positionH>
          <wp:positionV relativeFrom="paragraph">
            <wp:posOffset>-79375</wp:posOffset>
          </wp:positionV>
          <wp:extent cx="1633537" cy="535010"/>
          <wp:effectExtent l="0" t="0" r="5080" b="0"/>
          <wp:wrapNone/>
          <wp:docPr id="6" name="Bild 6" descr="Ein Bild, das Text, Schrif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Ein Bild, das Text, Schrift, Screenshot, Visitenkarte enthält.&#10;&#10;Automatisch generierte Beschreibung"/>
                  <pic:cNvPicPr>
                    <a:picLocks noChangeAspect="1"/>
                  </pic:cNvPicPr>
                </pic:nvPicPr>
                <pic:blipFill rotWithShape="1">
                  <a:blip r:embed="rId3">
                    <a:extLst>
                      <a:ext uri="{28A0092B-C50C-407E-A947-70E740481C1C}">
                        <a14:useLocalDpi xmlns:a14="http://schemas.microsoft.com/office/drawing/2010/main" val="0"/>
                      </a:ext>
                    </a:extLst>
                  </a:blip>
                  <a:srcRect l="58314" t="23373" r="9759" b="37213"/>
                  <a:stretch/>
                </pic:blipFill>
                <pic:spPr bwMode="auto">
                  <a:xfrm>
                    <a:off x="0" y="0"/>
                    <a:ext cx="1645999" cy="5390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C4F19" w14:textId="4687F320" w:rsidR="002709AE" w:rsidRDefault="002709AE" w:rsidP="001166B3">
    <w:pPr>
      <w:pStyle w:val="Kopfzeil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1490" w14:textId="570070D5" w:rsidR="00887B55" w:rsidRPr="00887B55" w:rsidRDefault="00887B55" w:rsidP="00887B55">
    <w:pPr>
      <w:pStyle w:val="Kopfzeile"/>
    </w:pPr>
    <w:r w:rsidRPr="00887B55">
      <w:rPr>
        <w:noProof/>
      </w:rPr>
      <w:drawing>
        <wp:anchor distT="0" distB="0" distL="114300" distR="114300" simplePos="0" relativeHeight="251664384" behindDoc="0" locked="0" layoutInCell="1" allowOverlap="1" wp14:anchorId="40BAA7D0" wp14:editId="53C4A5B0">
          <wp:simplePos x="0" y="0"/>
          <wp:positionH relativeFrom="leftMargin">
            <wp:posOffset>5112385</wp:posOffset>
          </wp:positionH>
          <wp:positionV relativeFrom="page">
            <wp:posOffset>431800</wp:posOffset>
          </wp:positionV>
          <wp:extent cx="2088000" cy="446400"/>
          <wp:effectExtent l="0" t="0" r="0" b="0"/>
          <wp:wrapNone/>
          <wp:docPr id="1167510477" name="Grafik 1167510477" descr="DBC-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C-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A0D82" w14:textId="6B0FC4DE" w:rsidR="00887B55" w:rsidRPr="00887B55" w:rsidRDefault="00887B55" w:rsidP="00887B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35pt;height:16.65pt" o:bullet="t">
        <v:imagedata r:id="rId1" o:title="Pfeil rechts"/>
      </v:shape>
    </w:pict>
  </w:numPicBullet>
  <w:numPicBullet w:numPicBulletId="1">
    <w:pict>
      <v:shape id="_x0000_i1059" type="#_x0000_t75" style="width:3.35pt;height:6.65pt" o:bullet="t">
        <v:imagedata r:id="rId2" o:title="Bullet_DBC-Blau"/>
      </v:shape>
    </w:pict>
  </w:numPicBullet>
  <w:abstractNum w:abstractNumId="0" w15:restartNumberingAfterBreak="0">
    <w:nsid w:val="FFFFFF7C"/>
    <w:multiLevelType w:val="singleLevel"/>
    <w:tmpl w:val="9CE222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C2B5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EC6D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2220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BA8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8A96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7624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DEB0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3A2E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E60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EB7FDC"/>
    <w:multiLevelType w:val="hybridMultilevel"/>
    <w:tmpl w:val="6396D7B0"/>
    <w:lvl w:ilvl="0" w:tplc="039A83E4">
      <w:numFmt w:val="bullet"/>
      <w:lvlText w:val="•"/>
      <w:lvlJc w:val="left"/>
      <w:pPr>
        <w:ind w:left="1410" w:hanging="690"/>
      </w:pPr>
      <w:rPr>
        <w:rFonts w:ascii="Barlow" w:eastAsiaTheme="minorHAnsi" w:hAnsi="Barlow"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729034F"/>
    <w:multiLevelType w:val="hybridMultilevel"/>
    <w:tmpl w:val="954C278A"/>
    <w:lvl w:ilvl="0" w:tplc="56EAD2BC">
      <w:start w:val="1"/>
      <w:numFmt w:val="bullet"/>
      <w:lvlText w:val=""/>
      <w:lvlPicBulletId w:val="0"/>
      <w:lvlJc w:val="left"/>
      <w:pPr>
        <w:ind w:left="144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824DA9"/>
    <w:multiLevelType w:val="hybridMultilevel"/>
    <w:tmpl w:val="C2FCD3D4"/>
    <w:lvl w:ilvl="0" w:tplc="1082A01A">
      <w:start w:val="1"/>
      <w:numFmt w:val="decimal"/>
      <w:pStyle w:val="NummerierteAufzhlung"/>
      <w:lvlText w:val="%1."/>
      <w:lvlJc w:val="left"/>
      <w:pPr>
        <w:ind w:left="570" w:hanging="360"/>
      </w:pPr>
      <w:rPr>
        <w:rFonts w:hint="default"/>
        <w:color w:val="004993"/>
      </w:rPr>
    </w:lvl>
    <w:lvl w:ilvl="1" w:tplc="FFFFFFFF" w:tentative="1">
      <w:start w:val="1"/>
      <w:numFmt w:val="bullet"/>
      <w:lvlText w:val="o"/>
      <w:lvlJc w:val="left"/>
      <w:pPr>
        <w:ind w:left="570" w:hanging="360"/>
      </w:pPr>
      <w:rPr>
        <w:rFonts w:ascii="Courier New" w:hAnsi="Courier New" w:cs="Courier New" w:hint="default"/>
      </w:rPr>
    </w:lvl>
    <w:lvl w:ilvl="2" w:tplc="FFFFFFFF" w:tentative="1">
      <w:start w:val="1"/>
      <w:numFmt w:val="bullet"/>
      <w:lvlText w:val=""/>
      <w:lvlJc w:val="left"/>
      <w:pPr>
        <w:ind w:left="1290" w:hanging="360"/>
      </w:pPr>
      <w:rPr>
        <w:rFonts w:ascii="Wingdings" w:hAnsi="Wingdings" w:hint="default"/>
      </w:rPr>
    </w:lvl>
    <w:lvl w:ilvl="3" w:tplc="FFFFFFFF" w:tentative="1">
      <w:start w:val="1"/>
      <w:numFmt w:val="bullet"/>
      <w:lvlText w:val=""/>
      <w:lvlJc w:val="left"/>
      <w:pPr>
        <w:ind w:left="2010" w:hanging="360"/>
      </w:pPr>
      <w:rPr>
        <w:rFonts w:ascii="Symbol" w:hAnsi="Symbol" w:hint="default"/>
      </w:rPr>
    </w:lvl>
    <w:lvl w:ilvl="4" w:tplc="FFFFFFFF" w:tentative="1">
      <w:start w:val="1"/>
      <w:numFmt w:val="bullet"/>
      <w:lvlText w:val="o"/>
      <w:lvlJc w:val="left"/>
      <w:pPr>
        <w:ind w:left="2730" w:hanging="360"/>
      </w:pPr>
      <w:rPr>
        <w:rFonts w:ascii="Courier New" w:hAnsi="Courier New" w:cs="Courier New" w:hint="default"/>
      </w:rPr>
    </w:lvl>
    <w:lvl w:ilvl="5" w:tplc="FFFFFFFF" w:tentative="1">
      <w:start w:val="1"/>
      <w:numFmt w:val="bullet"/>
      <w:lvlText w:val=""/>
      <w:lvlJc w:val="left"/>
      <w:pPr>
        <w:ind w:left="3450" w:hanging="360"/>
      </w:pPr>
      <w:rPr>
        <w:rFonts w:ascii="Wingdings" w:hAnsi="Wingdings" w:hint="default"/>
      </w:rPr>
    </w:lvl>
    <w:lvl w:ilvl="6" w:tplc="FFFFFFFF" w:tentative="1">
      <w:start w:val="1"/>
      <w:numFmt w:val="bullet"/>
      <w:lvlText w:val=""/>
      <w:lvlJc w:val="left"/>
      <w:pPr>
        <w:ind w:left="4170" w:hanging="360"/>
      </w:pPr>
      <w:rPr>
        <w:rFonts w:ascii="Symbol" w:hAnsi="Symbol" w:hint="default"/>
      </w:rPr>
    </w:lvl>
    <w:lvl w:ilvl="7" w:tplc="FFFFFFFF" w:tentative="1">
      <w:start w:val="1"/>
      <w:numFmt w:val="bullet"/>
      <w:lvlText w:val="o"/>
      <w:lvlJc w:val="left"/>
      <w:pPr>
        <w:ind w:left="4890" w:hanging="360"/>
      </w:pPr>
      <w:rPr>
        <w:rFonts w:ascii="Courier New" w:hAnsi="Courier New" w:cs="Courier New" w:hint="default"/>
      </w:rPr>
    </w:lvl>
    <w:lvl w:ilvl="8" w:tplc="FFFFFFFF" w:tentative="1">
      <w:start w:val="1"/>
      <w:numFmt w:val="bullet"/>
      <w:lvlText w:val=""/>
      <w:lvlJc w:val="left"/>
      <w:pPr>
        <w:ind w:left="5610" w:hanging="360"/>
      </w:pPr>
      <w:rPr>
        <w:rFonts w:ascii="Wingdings" w:hAnsi="Wingdings" w:hint="default"/>
      </w:rPr>
    </w:lvl>
  </w:abstractNum>
  <w:abstractNum w:abstractNumId="13" w15:restartNumberingAfterBreak="0">
    <w:nsid w:val="37796314"/>
    <w:multiLevelType w:val="multilevel"/>
    <w:tmpl w:val="4976A93C"/>
    <w:styleLink w:val="PromotionListe"/>
    <w:lvl w:ilvl="0">
      <w:start w:val="1"/>
      <w:numFmt w:val="bullet"/>
      <w:lvlText w:val=""/>
      <w:lvlJc w:val="left"/>
      <w:pPr>
        <w:ind w:left="737" w:hanging="377"/>
      </w:pPr>
      <w:rPr>
        <w:rFonts w:ascii="Wingdings" w:hAnsi="Wingdings" w:hint="default"/>
      </w:rPr>
    </w:lvl>
    <w:lvl w:ilvl="1">
      <w:start w:val="1"/>
      <w:numFmt w:val="bullet"/>
      <w:lvlText w:val="-"/>
      <w:lvlJc w:val="left"/>
      <w:pPr>
        <w:ind w:left="1247" w:hanging="396"/>
      </w:pPr>
      <w:rPr>
        <w:rFonts w:ascii="Courier New" w:hAnsi="Courier New" w:hint="default"/>
      </w:rPr>
    </w:lvl>
    <w:lvl w:ilvl="2">
      <w:start w:val="1"/>
      <w:numFmt w:val="bullet"/>
      <w:lvlText w:val="-"/>
      <w:lvlJc w:val="left"/>
      <w:pPr>
        <w:ind w:left="1871" w:hanging="510"/>
      </w:pPr>
      <w:rPr>
        <w:rFonts w:ascii="Courier New" w:hAnsi="Courier New" w:hint="default"/>
      </w:rPr>
    </w:lvl>
    <w:lvl w:ilvl="3">
      <w:start w:val="1"/>
      <w:numFmt w:val="bullet"/>
      <w:lvlText w:val="-"/>
      <w:lvlJc w:val="left"/>
      <w:pPr>
        <w:ind w:left="2438" w:hanging="51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044FBF"/>
    <w:multiLevelType w:val="hybridMultilevel"/>
    <w:tmpl w:val="2A6244E2"/>
    <w:lvl w:ilvl="0" w:tplc="26C0FB34">
      <w:start w:val="1"/>
      <w:numFmt w:val="bullet"/>
      <w:pStyle w:val="Listenabsatz"/>
      <w:lvlText w:val=""/>
      <w:lvlPicBulletId w:val="1"/>
      <w:lvlJc w:val="left"/>
      <w:pPr>
        <w:ind w:left="570" w:hanging="360"/>
      </w:pPr>
      <w:rPr>
        <w:rFonts w:ascii="Symbol" w:hAnsi="Symbol" w:hint="default"/>
        <w:color w:val="auto"/>
        <w:sz w:val="20"/>
        <w:szCs w:val="20"/>
        <w:u w:color="004993"/>
      </w:rPr>
    </w:lvl>
    <w:lvl w:ilvl="1" w:tplc="FFFFFFFF" w:tentative="1">
      <w:start w:val="1"/>
      <w:numFmt w:val="bullet"/>
      <w:lvlText w:val="o"/>
      <w:lvlJc w:val="left"/>
      <w:pPr>
        <w:ind w:left="570" w:hanging="360"/>
      </w:pPr>
      <w:rPr>
        <w:rFonts w:ascii="Courier New" w:hAnsi="Courier New" w:cs="Courier New" w:hint="default"/>
      </w:rPr>
    </w:lvl>
    <w:lvl w:ilvl="2" w:tplc="FFFFFFFF" w:tentative="1">
      <w:start w:val="1"/>
      <w:numFmt w:val="bullet"/>
      <w:lvlText w:val=""/>
      <w:lvlJc w:val="left"/>
      <w:pPr>
        <w:ind w:left="1290" w:hanging="360"/>
      </w:pPr>
      <w:rPr>
        <w:rFonts w:ascii="Wingdings" w:hAnsi="Wingdings" w:hint="default"/>
      </w:rPr>
    </w:lvl>
    <w:lvl w:ilvl="3" w:tplc="FFFFFFFF" w:tentative="1">
      <w:start w:val="1"/>
      <w:numFmt w:val="bullet"/>
      <w:lvlText w:val=""/>
      <w:lvlJc w:val="left"/>
      <w:pPr>
        <w:ind w:left="2010" w:hanging="360"/>
      </w:pPr>
      <w:rPr>
        <w:rFonts w:ascii="Symbol" w:hAnsi="Symbol" w:hint="default"/>
      </w:rPr>
    </w:lvl>
    <w:lvl w:ilvl="4" w:tplc="FFFFFFFF" w:tentative="1">
      <w:start w:val="1"/>
      <w:numFmt w:val="bullet"/>
      <w:lvlText w:val="o"/>
      <w:lvlJc w:val="left"/>
      <w:pPr>
        <w:ind w:left="2730" w:hanging="360"/>
      </w:pPr>
      <w:rPr>
        <w:rFonts w:ascii="Courier New" w:hAnsi="Courier New" w:cs="Courier New" w:hint="default"/>
      </w:rPr>
    </w:lvl>
    <w:lvl w:ilvl="5" w:tplc="FFFFFFFF" w:tentative="1">
      <w:start w:val="1"/>
      <w:numFmt w:val="bullet"/>
      <w:lvlText w:val=""/>
      <w:lvlJc w:val="left"/>
      <w:pPr>
        <w:ind w:left="3450" w:hanging="360"/>
      </w:pPr>
      <w:rPr>
        <w:rFonts w:ascii="Wingdings" w:hAnsi="Wingdings" w:hint="default"/>
      </w:rPr>
    </w:lvl>
    <w:lvl w:ilvl="6" w:tplc="FFFFFFFF" w:tentative="1">
      <w:start w:val="1"/>
      <w:numFmt w:val="bullet"/>
      <w:lvlText w:val=""/>
      <w:lvlJc w:val="left"/>
      <w:pPr>
        <w:ind w:left="4170" w:hanging="360"/>
      </w:pPr>
      <w:rPr>
        <w:rFonts w:ascii="Symbol" w:hAnsi="Symbol" w:hint="default"/>
      </w:rPr>
    </w:lvl>
    <w:lvl w:ilvl="7" w:tplc="FFFFFFFF" w:tentative="1">
      <w:start w:val="1"/>
      <w:numFmt w:val="bullet"/>
      <w:lvlText w:val="o"/>
      <w:lvlJc w:val="left"/>
      <w:pPr>
        <w:ind w:left="4890" w:hanging="360"/>
      </w:pPr>
      <w:rPr>
        <w:rFonts w:ascii="Courier New" w:hAnsi="Courier New" w:cs="Courier New" w:hint="default"/>
      </w:rPr>
    </w:lvl>
    <w:lvl w:ilvl="8" w:tplc="FFFFFFFF" w:tentative="1">
      <w:start w:val="1"/>
      <w:numFmt w:val="bullet"/>
      <w:lvlText w:val=""/>
      <w:lvlJc w:val="left"/>
      <w:pPr>
        <w:ind w:left="5610" w:hanging="360"/>
      </w:pPr>
      <w:rPr>
        <w:rFonts w:ascii="Wingdings" w:hAnsi="Wingdings" w:hint="default"/>
      </w:rPr>
    </w:lvl>
  </w:abstractNum>
  <w:abstractNum w:abstractNumId="15" w15:restartNumberingAfterBreak="0">
    <w:nsid w:val="6CC22EC2"/>
    <w:multiLevelType w:val="multilevel"/>
    <w:tmpl w:val="19C63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35B40CE"/>
    <w:multiLevelType w:val="hybridMultilevel"/>
    <w:tmpl w:val="32149DDE"/>
    <w:lvl w:ilvl="0" w:tplc="7C80CE5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B339B0"/>
    <w:multiLevelType w:val="hybridMultilevel"/>
    <w:tmpl w:val="86FE5E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13095895">
    <w:abstractNumId w:val="16"/>
  </w:num>
  <w:num w:numId="2" w16cid:durableId="1424037427">
    <w:abstractNumId w:val="15"/>
  </w:num>
  <w:num w:numId="3" w16cid:durableId="1990203907">
    <w:abstractNumId w:val="13"/>
  </w:num>
  <w:num w:numId="4" w16cid:durableId="1498420395">
    <w:abstractNumId w:val="11"/>
  </w:num>
  <w:num w:numId="5" w16cid:durableId="1294751736">
    <w:abstractNumId w:val="10"/>
  </w:num>
  <w:num w:numId="6" w16cid:durableId="2129422024">
    <w:abstractNumId w:val="17"/>
  </w:num>
  <w:num w:numId="7" w16cid:durableId="215436640">
    <w:abstractNumId w:val="12"/>
  </w:num>
  <w:num w:numId="8" w16cid:durableId="1356536442">
    <w:abstractNumId w:val="9"/>
  </w:num>
  <w:num w:numId="9" w16cid:durableId="1481270778">
    <w:abstractNumId w:val="8"/>
  </w:num>
  <w:num w:numId="10" w16cid:durableId="628438893">
    <w:abstractNumId w:val="7"/>
  </w:num>
  <w:num w:numId="11" w16cid:durableId="1921524265">
    <w:abstractNumId w:val="6"/>
  </w:num>
  <w:num w:numId="12" w16cid:durableId="1043287205">
    <w:abstractNumId w:val="5"/>
  </w:num>
  <w:num w:numId="13" w16cid:durableId="1170177855">
    <w:abstractNumId w:val="4"/>
  </w:num>
  <w:num w:numId="14" w16cid:durableId="1730499818">
    <w:abstractNumId w:val="3"/>
  </w:num>
  <w:num w:numId="15" w16cid:durableId="91055693">
    <w:abstractNumId w:val="2"/>
  </w:num>
  <w:num w:numId="16" w16cid:durableId="1781559720">
    <w:abstractNumId w:val="1"/>
  </w:num>
  <w:num w:numId="17" w16cid:durableId="2057729917">
    <w:abstractNumId w:val="0"/>
  </w:num>
  <w:num w:numId="18" w16cid:durableId="378286602">
    <w:abstractNumId w:val="14"/>
  </w:num>
  <w:num w:numId="19" w16cid:durableId="1960918265">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F8"/>
    <w:rsid w:val="0000430B"/>
    <w:rsid w:val="00010239"/>
    <w:rsid w:val="00013AD1"/>
    <w:rsid w:val="000272BD"/>
    <w:rsid w:val="00055B5B"/>
    <w:rsid w:val="000619EE"/>
    <w:rsid w:val="0007586D"/>
    <w:rsid w:val="000768F6"/>
    <w:rsid w:val="000B08B7"/>
    <w:rsid w:val="000D4FBB"/>
    <w:rsid w:val="000D7199"/>
    <w:rsid w:val="000E371C"/>
    <w:rsid w:val="000F2FA4"/>
    <w:rsid w:val="000F5E6E"/>
    <w:rsid w:val="00104875"/>
    <w:rsid w:val="001156BE"/>
    <w:rsid w:val="001166B3"/>
    <w:rsid w:val="00117BEB"/>
    <w:rsid w:val="00121866"/>
    <w:rsid w:val="00125162"/>
    <w:rsid w:val="001269F1"/>
    <w:rsid w:val="00127D2A"/>
    <w:rsid w:val="00130E07"/>
    <w:rsid w:val="0013434B"/>
    <w:rsid w:val="001435D8"/>
    <w:rsid w:val="00145530"/>
    <w:rsid w:val="001458CE"/>
    <w:rsid w:val="0014744A"/>
    <w:rsid w:val="00180A36"/>
    <w:rsid w:val="00186A48"/>
    <w:rsid w:val="001A2E93"/>
    <w:rsid w:val="001C74E6"/>
    <w:rsid w:val="001D17EE"/>
    <w:rsid w:val="001D2C00"/>
    <w:rsid w:val="001D444C"/>
    <w:rsid w:val="001D493E"/>
    <w:rsid w:val="001E26D9"/>
    <w:rsid w:val="001E4674"/>
    <w:rsid w:val="001F58B2"/>
    <w:rsid w:val="002022D8"/>
    <w:rsid w:val="00207B92"/>
    <w:rsid w:val="00212721"/>
    <w:rsid w:val="00220120"/>
    <w:rsid w:val="002217B9"/>
    <w:rsid w:val="00231038"/>
    <w:rsid w:val="00242C22"/>
    <w:rsid w:val="002432EB"/>
    <w:rsid w:val="00253666"/>
    <w:rsid w:val="00256C4A"/>
    <w:rsid w:val="002709AE"/>
    <w:rsid w:val="002807B5"/>
    <w:rsid w:val="002919D0"/>
    <w:rsid w:val="0029330D"/>
    <w:rsid w:val="002B476D"/>
    <w:rsid w:val="002B5F54"/>
    <w:rsid w:val="002B728D"/>
    <w:rsid w:val="002C032B"/>
    <w:rsid w:val="002C0D2C"/>
    <w:rsid w:val="002D036E"/>
    <w:rsid w:val="002D3139"/>
    <w:rsid w:val="002D51A5"/>
    <w:rsid w:val="002E1EF8"/>
    <w:rsid w:val="002E5684"/>
    <w:rsid w:val="002F7237"/>
    <w:rsid w:val="003015E1"/>
    <w:rsid w:val="00305A76"/>
    <w:rsid w:val="00306239"/>
    <w:rsid w:val="00312B09"/>
    <w:rsid w:val="00330489"/>
    <w:rsid w:val="0033512A"/>
    <w:rsid w:val="0033666B"/>
    <w:rsid w:val="0034670A"/>
    <w:rsid w:val="003473C5"/>
    <w:rsid w:val="00377347"/>
    <w:rsid w:val="0038468A"/>
    <w:rsid w:val="003A17F5"/>
    <w:rsid w:val="003A3842"/>
    <w:rsid w:val="003A4DD4"/>
    <w:rsid w:val="003C5B0E"/>
    <w:rsid w:val="003D20BA"/>
    <w:rsid w:val="003D6162"/>
    <w:rsid w:val="003D637D"/>
    <w:rsid w:val="003F28D8"/>
    <w:rsid w:val="00404489"/>
    <w:rsid w:val="00410ACA"/>
    <w:rsid w:val="00415F23"/>
    <w:rsid w:val="00424DB6"/>
    <w:rsid w:val="0042618F"/>
    <w:rsid w:val="00427CBE"/>
    <w:rsid w:val="004326DE"/>
    <w:rsid w:val="00434BED"/>
    <w:rsid w:val="00452894"/>
    <w:rsid w:val="00457A17"/>
    <w:rsid w:val="004605B6"/>
    <w:rsid w:val="00465485"/>
    <w:rsid w:val="00487B9C"/>
    <w:rsid w:val="00495CA5"/>
    <w:rsid w:val="004A0FD9"/>
    <w:rsid w:val="004A1A28"/>
    <w:rsid w:val="004A33DF"/>
    <w:rsid w:val="004A38BD"/>
    <w:rsid w:val="004A3C76"/>
    <w:rsid w:val="004B13BE"/>
    <w:rsid w:val="004B4797"/>
    <w:rsid w:val="004C4852"/>
    <w:rsid w:val="004E7E63"/>
    <w:rsid w:val="004F134E"/>
    <w:rsid w:val="004F36D4"/>
    <w:rsid w:val="004F4DD6"/>
    <w:rsid w:val="004F7F06"/>
    <w:rsid w:val="0050516A"/>
    <w:rsid w:val="0050666A"/>
    <w:rsid w:val="0052446E"/>
    <w:rsid w:val="005332A3"/>
    <w:rsid w:val="0054019E"/>
    <w:rsid w:val="005410CE"/>
    <w:rsid w:val="00544F09"/>
    <w:rsid w:val="00547461"/>
    <w:rsid w:val="00555732"/>
    <w:rsid w:val="00566FD4"/>
    <w:rsid w:val="00577ABB"/>
    <w:rsid w:val="00577B7F"/>
    <w:rsid w:val="00592257"/>
    <w:rsid w:val="005A0EA2"/>
    <w:rsid w:val="005A2EF9"/>
    <w:rsid w:val="005A7B55"/>
    <w:rsid w:val="005B4809"/>
    <w:rsid w:val="005C1B55"/>
    <w:rsid w:val="005C4ACD"/>
    <w:rsid w:val="005D4BCC"/>
    <w:rsid w:val="005F5820"/>
    <w:rsid w:val="00621AAF"/>
    <w:rsid w:val="00642C20"/>
    <w:rsid w:val="006531F0"/>
    <w:rsid w:val="006535AF"/>
    <w:rsid w:val="006638AB"/>
    <w:rsid w:val="006644DF"/>
    <w:rsid w:val="00666B3E"/>
    <w:rsid w:val="0067086A"/>
    <w:rsid w:val="00674D4D"/>
    <w:rsid w:val="006868DE"/>
    <w:rsid w:val="00687065"/>
    <w:rsid w:val="006D6997"/>
    <w:rsid w:val="006E2A2D"/>
    <w:rsid w:val="006F6008"/>
    <w:rsid w:val="00701629"/>
    <w:rsid w:val="00703CEE"/>
    <w:rsid w:val="007204CA"/>
    <w:rsid w:val="007231E4"/>
    <w:rsid w:val="00735095"/>
    <w:rsid w:val="007350D5"/>
    <w:rsid w:val="00751011"/>
    <w:rsid w:val="00753E6C"/>
    <w:rsid w:val="0075405F"/>
    <w:rsid w:val="0076315E"/>
    <w:rsid w:val="00763989"/>
    <w:rsid w:val="0076414F"/>
    <w:rsid w:val="00777E8D"/>
    <w:rsid w:val="007802A0"/>
    <w:rsid w:val="00781967"/>
    <w:rsid w:val="007A78B1"/>
    <w:rsid w:val="007C5F61"/>
    <w:rsid w:val="007F177F"/>
    <w:rsid w:val="007F4B8D"/>
    <w:rsid w:val="00803EE0"/>
    <w:rsid w:val="008108DD"/>
    <w:rsid w:val="00813A47"/>
    <w:rsid w:val="00815B65"/>
    <w:rsid w:val="00820833"/>
    <w:rsid w:val="008219C7"/>
    <w:rsid w:val="00835167"/>
    <w:rsid w:val="008352EC"/>
    <w:rsid w:val="00837A42"/>
    <w:rsid w:val="00841329"/>
    <w:rsid w:val="00857797"/>
    <w:rsid w:val="008870D6"/>
    <w:rsid w:val="00887B55"/>
    <w:rsid w:val="00887F40"/>
    <w:rsid w:val="00891E9E"/>
    <w:rsid w:val="00895D6F"/>
    <w:rsid w:val="008B180E"/>
    <w:rsid w:val="008C14B6"/>
    <w:rsid w:val="008C1E44"/>
    <w:rsid w:val="008C3477"/>
    <w:rsid w:val="008C75DC"/>
    <w:rsid w:val="008C7A75"/>
    <w:rsid w:val="008D4D83"/>
    <w:rsid w:val="008F6E35"/>
    <w:rsid w:val="0090256E"/>
    <w:rsid w:val="00922A86"/>
    <w:rsid w:val="009230DD"/>
    <w:rsid w:val="00926CD2"/>
    <w:rsid w:val="0093581C"/>
    <w:rsid w:val="009362CF"/>
    <w:rsid w:val="0093710B"/>
    <w:rsid w:val="009527FD"/>
    <w:rsid w:val="00981B5C"/>
    <w:rsid w:val="00984053"/>
    <w:rsid w:val="00985191"/>
    <w:rsid w:val="00987846"/>
    <w:rsid w:val="00987D2C"/>
    <w:rsid w:val="00990D93"/>
    <w:rsid w:val="00995B24"/>
    <w:rsid w:val="009A7490"/>
    <w:rsid w:val="009C2552"/>
    <w:rsid w:val="009D5353"/>
    <w:rsid w:val="009E3611"/>
    <w:rsid w:val="009E4E58"/>
    <w:rsid w:val="00A1204A"/>
    <w:rsid w:val="00A209B6"/>
    <w:rsid w:val="00A220E0"/>
    <w:rsid w:val="00A266F9"/>
    <w:rsid w:val="00A32166"/>
    <w:rsid w:val="00A333BA"/>
    <w:rsid w:val="00A42DE5"/>
    <w:rsid w:val="00A4598E"/>
    <w:rsid w:val="00A54980"/>
    <w:rsid w:val="00A55D24"/>
    <w:rsid w:val="00A844D0"/>
    <w:rsid w:val="00A90056"/>
    <w:rsid w:val="00A90844"/>
    <w:rsid w:val="00A91B72"/>
    <w:rsid w:val="00A94ED4"/>
    <w:rsid w:val="00AA2DFA"/>
    <w:rsid w:val="00AA5857"/>
    <w:rsid w:val="00AB0F8E"/>
    <w:rsid w:val="00AC2021"/>
    <w:rsid w:val="00AC26DC"/>
    <w:rsid w:val="00AE4683"/>
    <w:rsid w:val="00AF2E57"/>
    <w:rsid w:val="00AF4580"/>
    <w:rsid w:val="00B15DCB"/>
    <w:rsid w:val="00B221F8"/>
    <w:rsid w:val="00B23F64"/>
    <w:rsid w:val="00B416F3"/>
    <w:rsid w:val="00B43CDC"/>
    <w:rsid w:val="00B47E33"/>
    <w:rsid w:val="00B61411"/>
    <w:rsid w:val="00B76403"/>
    <w:rsid w:val="00B80EFF"/>
    <w:rsid w:val="00B814C8"/>
    <w:rsid w:val="00B826D2"/>
    <w:rsid w:val="00B83DB6"/>
    <w:rsid w:val="00B90238"/>
    <w:rsid w:val="00B91589"/>
    <w:rsid w:val="00B946CD"/>
    <w:rsid w:val="00BC0938"/>
    <w:rsid w:val="00BC11D9"/>
    <w:rsid w:val="00BD0284"/>
    <w:rsid w:val="00BD486E"/>
    <w:rsid w:val="00BD7508"/>
    <w:rsid w:val="00BE3B6A"/>
    <w:rsid w:val="00BE607E"/>
    <w:rsid w:val="00BF56E9"/>
    <w:rsid w:val="00BF62A3"/>
    <w:rsid w:val="00C050D2"/>
    <w:rsid w:val="00C07BC8"/>
    <w:rsid w:val="00C20F8F"/>
    <w:rsid w:val="00C25DC3"/>
    <w:rsid w:val="00C27CFE"/>
    <w:rsid w:val="00C33991"/>
    <w:rsid w:val="00C367C2"/>
    <w:rsid w:val="00C371E6"/>
    <w:rsid w:val="00C4286E"/>
    <w:rsid w:val="00C4608A"/>
    <w:rsid w:val="00C54214"/>
    <w:rsid w:val="00C87903"/>
    <w:rsid w:val="00C975B9"/>
    <w:rsid w:val="00CA7C53"/>
    <w:rsid w:val="00CA7FA9"/>
    <w:rsid w:val="00CB2C7B"/>
    <w:rsid w:val="00CB5BCB"/>
    <w:rsid w:val="00CC7823"/>
    <w:rsid w:val="00CD09A2"/>
    <w:rsid w:val="00CD1E03"/>
    <w:rsid w:val="00CF0AF7"/>
    <w:rsid w:val="00CF4760"/>
    <w:rsid w:val="00CF683A"/>
    <w:rsid w:val="00D11609"/>
    <w:rsid w:val="00D26B18"/>
    <w:rsid w:val="00D30C6C"/>
    <w:rsid w:val="00D42D34"/>
    <w:rsid w:val="00D51FCD"/>
    <w:rsid w:val="00D51FE1"/>
    <w:rsid w:val="00D62F62"/>
    <w:rsid w:val="00D820B2"/>
    <w:rsid w:val="00D8535B"/>
    <w:rsid w:val="00D96E4E"/>
    <w:rsid w:val="00DB7221"/>
    <w:rsid w:val="00DC7F0C"/>
    <w:rsid w:val="00DD1E2A"/>
    <w:rsid w:val="00DD2AE9"/>
    <w:rsid w:val="00DD679F"/>
    <w:rsid w:val="00DE2049"/>
    <w:rsid w:val="00DF5A91"/>
    <w:rsid w:val="00E11A25"/>
    <w:rsid w:val="00E13C9C"/>
    <w:rsid w:val="00E14F28"/>
    <w:rsid w:val="00E21204"/>
    <w:rsid w:val="00E27ADD"/>
    <w:rsid w:val="00E36BDB"/>
    <w:rsid w:val="00E43588"/>
    <w:rsid w:val="00E455D0"/>
    <w:rsid w:val="00E46E7E"/>
    <w:rsid w:val="00E609BE"/>
    <w:rsid w:val="00E66033"/>
    <w:rsid w:val="00E77725"/>
    <w:rsid w:val="00E8160D"/>
    <w:rsid w:val="00E91BA9"/>
    <w:rsid w:val="00E91BFB"/>
    <w:rsid w:val="00E96CCB"/>
    <w:rsid w:val="00EC32CD"/>
    <w:rsid w:val="00EC47B2"/>
    <w:rsid w:val="00EC5244"/>
    <w:rsid w:val="00EC65A0"/>
    <w:rsid w:val="00ED2A12"/>
    <w:rsid w:val="00ED76D0"/>
    <w:rsid w:val="00EE7D8C"/>
    <w:rsid w:val="00F050DB"/>
    <w:rsid w:val="00F0726C"/>
    <w:rsid w:val="00F107C6"/>
    <w:rsid w:val="00F11E44"/>
    <w:rsid w:val="00F1356E"/>
    <w:rsid w:val="00F23058"/>
    <w:rsid w:val="00F26473"/>
    <w:rsid w:val="00F41371"/>
    <w:rsid w:val="00F514E2"/>
    <w:rsid w:val="00F54771"/>
    <w:rsid w:val="00F645A8"/>
    <w:rsid w:val="00F651F7"/>
    <w:rsid w:val="00F65660"/>
    <w:rsid w:val="00F675BE"/>
    <w:rsid w:val="00F75D2D"/>
    <w:rsid w:val="00F76847"/>
    <w:rsid w:val="00F76B13"/>
    <w:rsid w:val="00F940A8"/>
    <w:rsid w:val="00F971BB"/>
    <w:rsid w:val="00FB299B"/>
    <w:rsid w:val="00FB2C4A"/>
    <w:rsid w:val="00FB38D6"/>
    <w:rsid w:val="00FC58E1"/>
    <w:rsid w:val="00FC6BD8"/>
    <w:rsid w:val="00FD137F"/>
    <w:rsid w:val="00FD4C8E"/>
    <w:rsid w:val="00FD4D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72ADBCE9"/>
  <w15:chartTrackingRefBased/>
  <w15:docId w15:val="{EB5B27E5-E9CC-4643-A559-0563C985C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75B9"/>
    <w:pPr>
      <w:spacing w:after="160" w:line="300" w:lineRule="exact"/>
      <w:jc w:val="both"/>
    </w:pPr>
    <w:rPr>
      <w:rFonts w:ascii="Barlow" w:hAnsi="Barlow"/>
      <w:sz w:val="20"/>
    </w:rPr>
  </w:style>
  <w:style w:type="paragraph" w:styleId="berschrift1">
    <w:name w:val="heading 1"/>
    <w:basedOn w:val="Standard"/>
    <w:next w:val="Standard"/>
    <w:link w:val="berschrift1Zchn"/>
    <w:uiPriority w:val="9"/>
    <w:qFormat/>
    <w:rsid w:val="00E8160D"/>
    <w:pPr>
      <w:keepNext/>
      <w:spacing w:before="360"/>
      <w:jc w:val="left"/>
      <w:outlineLvl w:val="0"/>
    </w:pPr>
    <w:rPr>
      <w:rFonts w:ascii="Barlow SemiBold" w:hAnsi="Barlow SemiBold"/>
      <w:sz w:val="24"/>
      <w:szCs w:val="26"/>
    </w:rPr>
  </w:style>
  <w:style w:type="paragraph" w:styleId="berschrift2">
    <w:name w:val="heading 2"/>
    <w:basedOn w:val="berschrift1"/>
    <w:next w:val="Standard"/>
    <w:link w:val="berschrift2Zchn"/>
    <w:uiPriority w:val="9"/>
    <w:unhideWhenUsed/>
    <w:qFormat/>
    <w:rsid w:val="0007586D"/>
    <w:pPr>
      <w:outlineLvl w:val="1"/>
    </w:pPr>
    <w:rPr>
      <w:sz w:val="20"/>
      <w:szCs w:val="22"/>
    </w:rPr>
  </w:style>
  <w:style w:type="paragraph" w:styleId="berschrift3">
    <w:name w:val="heading 3"/>
    <w:aliases w:val="Überschrift mit Aufzählung (1. Ebene)"/>
    <w:basedOn w:val="berschrift1"/>
    <w:next w:val="Standard"/>
    <w:link w:val="berschrift3Zchn"/>
    <w:uiPriority w:val="9"/>
    <w:unhideWhenUsed/>
    <w:rsid w:val="005D4BCC"/>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C87903"/>
    <w:pPr>
      <w:spacing w:after="0"/>
    </w:pPr>
  </w:style>
  <w:style w:type="character" w:customStyle="1" w:styleId="KeinLeerraumZchn">
    <w:name w:val="Kein Leerraum Zchn"/>
    <w:basedOn w:val="Absatz-Standardschriftart"/>
    <w:link w:val="KeinLeerraum"/>
    <w:uiPriority w:val="1"/>
    <w:rsid w:val="00C87903"/>
    <w:rPr>
      <w:rFonts w:ascii="Barlow" w:hAnsi="Barlow"/>
      <w:sz w:val="20"/>
    </w:rPr>
  </w:style>
  <w:style w:type="character" w:customStyle="1" w:styleId="berschrift3Zchn">
    <w:name w:val="Überschrift 3 Zchn"/>
    <w:aliases w:val="Überschrift mit Aufzählung (1. Ebene) Zchn"/>
    <w:basedOn w:val="Absatz-Standardschriftart"/>
    <w:link w:val="berschrift3"/>
    <w:uiPriority w:val="9"/>
    <w:rsid w:val="005D4BCC"/>
    <w:rPr>
      <w:rFonts w:ascii="Barlow SemiBold" w:hAnsi="Barlow SemiBold"/>
      <w:sz w:val="24"/>
      <w:szCs w:val="26"/>
    </w:rPr>
  </w:style>
  <w:style w:type="numbering" w:customStyle="1" w:styleId="PromotionListe">
    <w:name w:val="Promotion Liste"/>
    <w:uiPriority w:val="99"/>
    <w:rsid w:val="00642C20"/>
    <w:pPr>
      <w:numPr>
        <w:numId w:val="3"/>
      </w:numPr>
    </w:pPr>
  </w:style>
  <w:style w:type="paragraph" w:styleId="Kopfzeile">
    <w:name w:val="header"/>
    <w:basedOn w:val="Standard"/>
    <w:link w:val="KopfzeileZchn"/>
    <w:uiPriority w:val="99"/>
    <w:unhideWhenUsed/>
    <w:rsid w:val="002E1E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1EF8"/>
  </w:style>
  <w:style w:type="paragraph" w:styleId="Fuzeile">
    <w:name w:val="footer"/>
    <w:basedOn w:val="Standard"/>
    <w:link w:val="FuzeileZchn"/>
    <w:uiPriority w:val="99"/>
    <w:unhideWhenUsed/>
    <w:rsid w:val="002E1E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1EF8"/>
  </w:style>
  <w:style w:type="table" w:styleId="Tabellenraster">
    <w:name w:val="Table Grid"/>
    <w:basedOn w:val="NormaleTabelle"/>
    <w:uiPriority w:val="59"/>
    <w:rsid w:val="00F10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8160D"/>
    <w:rPr>
      <w:rFonts w:ascii="Barlow SemiBold" w:hAnsi="Barlow SemiBold"/>
      <w:sz w:val="24"/>
      <w:szCs w:val="26"/>
    </w:rPr>
  </w:style>
  <w:style w:type="character" w:styleId="Hervorhebung">
    <w:name w:val="Emphasis"/>
    <w:uiPriority w:val="20"/>
    <w:qFormat/>
    <w:rsid w:val="004A3C76"/>
    <w:rPr>
      <w:rFonts w:ascii="Barlow Medium" w:hAnsi="Barlow Medium"/>
    </w:rPr>
  </w:style>
  <w:style w:type="character" w:styleId="Hyperlink">
    <w:name w:val="Hyperlink"/>
    <w:basedOn w:val="Absatz-Standardschriftart"/>
    <w:uiPriority w:val="99"/>
    <w:unhideWhenUsed/>
    <w:rsid w:val="008C1E44"/>
    <w:rPr>
      <w:color w:val="0000FF" w:themeColor="hyperlink"/>
      <w:u w:val="single"/>
    </w:rPr>
  </w:style>
  <w:style w:type="character" w:styleId="NichtaufgelsteErwhnung">
    <w:name w:val="Unresolved Mention"/>
    <w:basedOn w:val="Absatz-Standardschriftart"/>
    <w:uiPriority w:val="99"/>
    <w:semiHidden/>
    <w:unhideWhenUsed/>
    <w:rsid w:val="008C1E44"/>
    <w:rPr>
      <w:color w:val="605E5C"/>
      <w:shd w:val="clear" w:color="auto" w:fill="E1DFDD"/>
    </w:rPr>
  </w:style>
  <w:style w:type="character" w:customStyle="1" w:styleId="berschrift2Zchn">
    <w:name w:val="Überschrift 2 Zchn"/>
    <w:basedOn w:val="Absatz-Standardschriftart"/>
    <w:link w:val="berschrift2"/>
    <w:uiPriority w:val="9"/>
    <w:rsid w:val="0007586D"/>
    <w:rPr>
      <w:rFonts w:ascii="Barlow SemiBold" w:hAnsi="Barlow SemiBold"/>
      <w:sz w:val="20"/>
    </w:rPr>
  </w:style>
  <w:style w:type="paragraph" w:styleId="Titel">
    <w:name w:val="Title"/>
    <w:basedOn w:val="Standard"/>
    <w:next w:val="Standard"/>
    <w:link w:val="TitelZchn"/>
    <w:uiPriority w:val="10"/>
    <w:qFormat/>
    <w:rsid w:val="009E4E58"/>
    <w:pPr>
      <w:spacing w:before="120" w:after="960" w:line="276" w:lineRule="auto"/>
      <w:jc w:val="left"/>
    </w:pPr>
    <w:rPr>
      <w:rFonts w:ascii="Barlow SemiBold" w:hAnsi="Barlow SemiBold"/>
      <w:color w:val="004993"/>
      <w:sz w:val="36"/>
      <w:szCs w:val="36"/>
    </w:rPr>
  </w:style>
  <w:style w:type="character" w:customStyle="1" w:styleId="TitelZchn">
    <w:name w:val="Titel Zchn"/>
    <w:basedOn w:val="Absatz-Standardschriftart"/>
    <w:link w:val="Titel"/>
    <w:uiPriority w:val="10"/>
    <w:rsid w:val="009E4E58"/>
    <w:rPr>
      <w:rFonts w:ascii="Barlow SemiBold" w:hAnsi="Barlow SemiBold"/>
      <w:color w:val="004993"/>
      <w:sz w:val="36"/>
      <w:szCs w:val="36"/>
    </w:rPr>
  </w:style>
  <w:style w:type="paragraph" w:styleId="Untertitel">
    <w:name w:val="Subtitle"/>
    <w:aliases w:val="Dokumentenart über Titel"/>
    <w:basedOn w:val="Standard"/>
    <w:next w:val="Standard"/>
    <w:link w:val="UntertitelZchn"/>
    <w:uiPriority w:val="14"/>
    <w:qFormat/>
    <w:rsid w:val="009E4E58"/>
    <w:pPr>
      <w:spacing w:before="1680" w:after="0" w:line="300" w:lineRule="auto"/>
    </w:pPr>
    <w:rPr>
      <w:rFonts w:ascii="Barlow Medium" w:hAnsi="Barlow Medium"/>
      <w:color w:val="004993"/>
      <w:spacing w:val="10"/>
      <w:sz w:val="24"/>
      <w:szCs w:val="24"/>
    </w:rPr>
  </w:style>
  <w:style w:type="character" w:customStyle="1" w:styleId="UntertitelZchn">
    <w:name w:val="Untertitel Zchn"/>
    <w:aliases w:val="Dokumentenart über Titel Zchn"/>
    <w:basedOn w:val="Absatz-Standardschriftart"/>
    <w:link w:val="Untertitel"/>
    <w:uiPriority w:val="14"/>
    <w:rsid w:val="009E4E58"/>
    <w:rPr>
      <w:rFonts w:ascii="Barlow Medium" w:hAnsi="Barlow Medium"/>
      <w:color w:val="004993"/>
      <w:spacing w:val="10"/>
      <w:sz w:val="24"/>
      <w:szCs w:val="24"/>
    </w:rPr>
  </w:style>
  <w:style w:type="paragraph" w:styleId="Listenabsatz">
    <w:name w:val="List Paragraph"/>
    <w:basedOn w:val="Standard"/>
    <w:link w:val="ListenabsatzZchn"/>
    <w:uiPriority w:val="10"/>
    <w:qFormat/>
    <w:rsid w:val="005410CE"/>
    <w:pPr>
      <w:numPr>
        <w:numId w:val="18"/>
      </w:numPr>
    </w:pPr>
  </w:style>
  <w:style w:type="character" w:styleId="Fett">
    <w:name w:val="Strong"/>
    <w:basedOn w:val="Absatz-Standardschriftart"/>
    <w:uiPriority w:val="22"/>
    <w:qFormat/>
    <w:rsid w:val="00987846"/>
    <w:rPr>
      <w:b/>
      <w:bCs/>
    </w:rPr>
  </w:style>
  <w:style w:type="paragraph" w:styleId="IntensivesZitat">
    <w:name w:val="Intense Quote"/>
    <w:basedOn w:val="Standard"/>
    <w:next w:val="Standard"/>
    <w:link w:val="IntensivesZitatZchn"/>
    <w:uiPriority w:val="30"/>
    <w:qFormat/>
    <w:rsid w:val="002807B5"/>
    <w:pPr>
      <w:pBdr>
        <w:top w:val="single" w:sz="4" w:space="10" w:color="004993"/>
        <w:bottom w:val="single" w:sz="4" w:space="10" w:color="004993"/>
      </w:pBdr>
      <w:spacing w:before="360" w:after="360"/>
      <w:ind w:left="864" w:right="864"/>
      <w:jc w:val="center"/>
    </w:pPr>
    <w:rPr>
      <w:i/>
      <w:iCs/>
      <w:color w:val="004993"/>
    </w:rPr>
  </w:style>
  <w:style w:type="character" w:customStyle="1" w:styleId="IntensivesZitatZchn">
    <w:name w:val="Intensives Zitat Zchn"/>
    <w:basedOn w:val="Absatz-Standardschriftart"/>
    <w:link w:val="IntensivesZitat"/>
    <w:uiPriority w:val="30"/>
    <w:rsid w:val="002807B5"/>
    <w:rPr>
      <w:rFonts w:ascii="Barlow" w:hAnsi="Barlow"/>
      <w:i/>
      <w:iCs/>
      <w:color w:val="004993"/>
      <w:sz w:val="20"/>
    </w:rPr>
  </w:style>
  <w:style w:type="character" w:styleId="IntensiverVerweis">
    <w:name w:val="Intense Reference"/>
    <w:basedOn w:val="Absatz-Standardschriftart"/>
    <w:uiPriority w:val="32"/>
    <w:qFormat/>
    <w:rsid w:val="002807B5"/>
    <w:rPr>
      <w:b/>
      <w:bCs/>
      <w:smallCaps/>
      <w:color w:val="004993"/>
      <w:spacing w:val="5"/>
    </w:rPr>
  </w:style>
  <w:style w:type="character" w:styleId="IntensiveHervorhebung">
    <w:name w:val="Intense Emphasis"/>
    <w:basedOn w:val="Absatz-Standardschriftart"/>
    <w:uiPriority w:val="21"/>
    <w:qFormat/>
    <w:rsid w:val="00D62F62"/>
    <w:rPr>
      <w:i/>
      <w:iCs/>
      <w:color w:val="004993"/>
    </w:rPr>
  </w:style>
  <w:style w:type="paragraph" w:customStyle="1" w:styleId="NummerierteAufzhlung">
    <w:name w:val="Nummerierte Aufzählung"/>
    <w:basedOn w:val="Listenabsatz"/>
    <w:link w:val="NummerierteAufzhlungZchn"/>
    <w:uiPriority w:val="10"/>
    <w:qFormat/>
    <w:rsid w:val="00CC7823"/>
    <w:pPr>
      <w:numPr>
        <w:numId w:val="7"/>
      </w:numPr>
    </w:pPr>
  </w:style>
  <w:style w:type="character" w:customStyle="1" w:styleId="ListenabsatzZchn">
    <w:name w:val="Listenabsatz Zchn"/>
    <w:basedOn w:val="Absatz-Standardschriftart"/>
    <w:link w:val="Listenabsatz"/>
    <w:uiPriority w:val="10"/>
    <w:rsid w:val="005410CE"/>
    <w:rPr>
      <w:rFonts w:ascii="Barlow" w:hAnsi="Barlow"/>
      <w:sz w:val="20"/>
    </w:rPr>
  </w:style>
  <w:style w:type="character" w:customStyle="1" w:styleId="NummerierteAufzhlungZchn">
    <w:name w:val="Nummerierte Aufzählung Zchn"/>
    <w:basedOn w:val="ListenabsatzZchn"/>
    <w:link w:val="NummerierteAufzhlung"/>
    <w:uiPriority w:val="10"/>
    <w:rsid w:val="003A3842"/>
    <w:rPr>
      <w:rFonts w:ascii="Barlow" w:hAnsi="Barlow"/>
      <w:sz w:val="20"/>
    </w:rPr>
  </w:style>
  <w:style w:type="character" w:styleId="SchwacherVerweis">
    <w:name w:val="Subtle Reference"/>
    <w:basedOn w:val="Absatz-Standardschriftart"/>
    <w:uiPriority w:val="31"/>
    <w:qFormat/>
    <w:rsid w:val="00EE7D8C"/>
    <w:rPr>
      <w:smallCaps/>
      <w:color w:val="5A5A5A" w:themeColor="text1" w:themeTint="A5"/>
    </w:rPr>
  </w:style>
  <w:style w:type="character" w:styleId="SchwacheHervorhebung">
    <w:name w:val="Subtle Emphasis"/>
    <w:basedOn w:val="Absatz-Standardschriftart"/>
    <w:uiPriority w:val="19"/>
    <w:qFormat/>
    <w:rsid w:val="00ED2A1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lebstoffe.com/informationen/merkblaette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deutsche-bauchemie.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3269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Nathalie Schlößer</cp:lastModifiedBy>
  <cp:revision>11</cp:revision>
  <cp:lastPrinted>2023-11-10T10:20:00Z</cp:lastPrinted>
  <dcterms:created xsi:type="dcterms:W3CDTF">2023-11-10T08:27:00Z</dcterms:created>
  <dcterms:modified xsi:type="dcterms:W3CDTF">2023-11-10T10:20:00Z</dcterms:modified>
</cp:coreProperties>
</file>